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0CF24" w14:textId="77777777" w:rsidR="008E05C3" w:rsidRPr="005B29C0" w:rsidRDefault="00000000" w:rsidP="005B29C0">
      <w:pPr>
        <w:jc w:val="center"/>
        <w:rPr>
          <w:color w:val="000000" w:themeColor="text1"/>
          <w:lang w:val="es-CO"/>
        </w:rPr>
      </w:pPr>
      <w:r w:rsidRPr="005B29C0">
        <w:rPr>
          <w:b/>
          <w:color w:val="000000" w:themeColor="text1"/>
          <w:sz w:val="32"/>
          <w:lang w:val="es-CO"/>
        </w:rPr>
        <w:t>CONCEPTO CONSTITUCIONAL</w:t>
      </w:r>
      <w:r w:rsidRPr="005B29C0">
        <w:rPr>
          <w:b/>
          <w:color w:val="000000" w:themeColor="text1"/>
          <w:sz w:val="32"/>
          <w:lang w:val="es-CO"/>
        </w:rPr>
        <w:br/>
        <w:t>OBSERVACIONES SOBRE EL BORRADOR DE DEMANDA Y ENCUADRE DEL JUICIO INTEGRADO DE IGUALDAD EN MATERIA TRIBUTARIA</w:t>
      </w:r>
    </w:p>
    <w:p w14:paraId="2FF31A2B" w14:textId="77777777" w:rsidR="005B29C0" w:rsidRDefault="00000000" w:rsidP="005B29C0">
      <w:pPr>
        <w:jc w:val="both"/>
        <w:rPr>
          <w:color w:val="000000" w:themeColor="text1"/>
          <w:lang w:val="es-CO"/>
        </w:rPr>
      </w:pPr>
      <w:r w:rsidRPr="005B29C0">
        <w:rPr>
          <w:color w:val="000000" w:themeColor="text1"/>
          <w:lang w:val="es-CO"/>
        </w:rPr>
        <w:br/>
      </w:r>
      <w:r w:rsidRPr="005B29C0">
        <w:rPr>
          <w:color w:val="000000" w:themeColor="text1"/>
          <w:lang w:val="es-CO"/>
        </w:rPr>
        <w:br/>
        <w:t>El análisis parte de una premisa central: el problema advertido en la proyección no radica únicamente en la formulación de determinados cargos, sino en el encuadre constitucional mismo de la demanda. En otras palabras, el borrador parece construirse sobre una proposición normativa insuficiente, al asumir que la sola existencia de un trato tributario diferenciado configura per se una vulneración del principio de igualdad, sin desarrollar integralmente la metodología constitucional exigida por la Corte para desvirtuar la presunción de constitucionalidad de una medida legislativa.</w:t>
      </w:r>
    </w:p>
    <w:p w14:paraId="2A58E760" w14:textId="77777777" w:rsidR="008E05C3" w:rsidRPr="005B29C0" w:rsidRDefault="00000000" w:rsidP="005B29C0">
      <w:pPr>
        <w:pStyle w:val="Ttulo1"/>
        <w:jc w:val="both"/>
        <w:rPr>
          <w:color w:val="000000" w:themeColor="text1"/>
          <w:lang w:val="es-CO"/>
        </w:rPr>
      </w:pPr>
      <w:r w:rsidRPr="005B29C0">
        <w:rPr>
          <w:color w:val="000000" w:themeColor="text1"/>
          <w:lang w:val="es-CO"/>
        </w:rPr>
        <w:t>I. EL ENCUADRE CONSTITUCIONAL DEL PROBLEMA JURÍDICO</w:t>
      </w:r>
    </w:p>
    <w:p w14:paraId="3423694F" w14:textId="77777777" w:rsidR="005B29C0" w:rsidRDefault="00000000" w:rsidP="005B29C0">
      <w:pPr>
        <w:jc w:val="both"/>
        <w:rPr>
          <w:color w:val="000000" w:themeColor="text1"/>
          <w:lang w:val="es-CO"/>
        </w:rPr>
      </w:pPr>
      <w:r w:rsidRPr="005B29C0">
        <w:rPr>
          <w:color w:val="000000" w:themeColor="text1"/>
          <w:lang w:val="es-CO"/>
        </w:rPr>
        <w:br/>
        <w:t>La Corte Constitucional ha señalado reiteradamente que el principio de igualdad no implica uniformidad absoluta de trato. Por el contrario, la Constitución admite tratamientos diferenciados siempre que estos persigan fines constitucionalmente legítimos y superen el juicio integrado de igualdad.</w:t>
      </w:r>
      <w:r w:rsidR="005B29C0">
        <w:rPr>
          <w:color w:val="000000" w:themeColor="text1"/>
          <w:lang w:val="es-CO"/>
        </w:rPr>
        <w:t xml:space="preserve"> </w:t>
      </w:r>
      <w:r w:rsidRPr="005B29C0">
        <w:rPr>
          <w:color w:val="000000" w:themeColor="text1"/>
          <w:lang w:val="es-CO"/>
        </w:rPr>
        <w:t>En consecuencia, el problema constitucional no puede formularse simplemente en términos de “existencia de trato diferencial”, sino en determinar si la diferencia normativa introducida por el legislador carece de justificación constitucional suficiente.</w:t>
      </w:r>
    </w:p>
    <w:p w14:paraId="2FB1100A" w14:textId="5568E4EE" w:rsidR="008E05C3" w:rsidRPr="005B29C0" w:rsidRDefault="00000000" w:rsidP="005B29C0">
      <w:pPr>
        <w:jc w:val="both"/>
        <w:rPr>
          <w:color w:val="000000" w:themeColor="text1"/>
          <w:lang w:val="es-CO"/>
        </w:rPr>
      </w:pPr>
      <w:r w:rsidRPr="005B29C0">
        <w:rPr>
          <w:color w:val="000000" w:themeColor="text1"/>
          <w:lang w:val="es-CO"/>
        </w:rPr>
        <w:br/>
        <w:t>Precisamente allí aparece el primer vacío estructural advertido en la proyección analizada: la demanda parece partir de una noción predominantemente formal de igualdad y no desarrolla adecuadamente la dimensión material del artículo 13 Superior, especialmente en contextos territoriales diferenciados como las zonas de frontera.</w:t>
      </w:r>
      <w:r w:rsidRPr="005B29C0">
        <w:rPr>
          <w:color w:val="000000" w:themeColor="text1"/>
          <w:lang w:val="es-CO"/>
        </w:rPr>
        <w:br/>
      </w:r>
    </w:p>
    <w:p w14:paraId="36C11205" w14:textId="77777777" w:rsidR="008E05C3" w:rsidRPr="005B29C0" w:rsidRDefault="00000000" w:rsidP="005B29C0">
      <w:pPr>
        <w:pStyle w:val="Ttulo1"/>
        <w:jc w:val="both"/>
        <w:rPr>
          <w:color w:val="000000" w:themeColor="text1"/>
          <w:lang w:val="es-CO"/>
        </w:rPr>
      </w:pPr>
      <w:r w:rsidRPr="005B29C0">
        <w:rPr>
          <w:color w:val="000000" w:themeColor="text1"/>
          <w:lang w:val="es-CO"/>
        </w:rPr>
        <w:t>II. LA PROPOSICIÓN NORMATIVA EQUIVOCADA SOBRE LA CUAL PARECE CONSTRUIRSE EL BORRADOR</w:t>
      </w:r>
    </w:p>
    <w:p w14:paraId="7D834C79" w14:textId="77777777" w:rsidR="005B29C0" w:rsidRDefault="00000000" w:rsidP="005B29C0">
      <w:pPr>
        <w:jc w:val="both"/>
        <w:rPr>
          <w:i/>
          <w:iCs/>
          <w:color w:val="000000" w:themeColor="text1"/>
          <w:u w:val="single"/>
          <w:lang w:val="es-CO"/>
        </w:rPr>
      </w:pPr>
      <w:r w:rsidRPr="005B29C0">
        <w:rPr>
          <w:color w:val="000000" w:themeColor="text1"/>
          <w:lang w:val="es-CO"/>
        </w:rPr>
        <w:br/>
        <w:t>La estructura actual de la proyección parece edificarse sobre la siguiente premisa implícita:</w:t>
      </w:r>
      <w:r w:rsidRPr="005B29C0">
        <w:rPr>
          <w:color w:val="000000" w:themeColor="text1"/>
          <w:lang w:val="es-CO"/>
        </w:rPr>
        <w:br/>
      </w:r>
      <w:r w:rsidRPr="005B29C0">
        <w:rPr>
          <w:color w:val="000000" w:themeColor="text1"/>
          <w:lang w:val="es-CO"/>
        </w:rPr>
        <w:br/>
      </w:r>
      <w:r w:rsidRPr="005B29C0">
        <w:rPr>
          <w:i/>
          <w:iCs/>
          <w:color w:val="000000" w:themeColor="text1"/>
          <w:sz w:val="28"/>
          <w:szCs w:val="24"/>
          <w:u w:val="single"/>
          <w:lang w:val="es-CO"/>
        </w:rPr>
        <w:lastRenderedPageBreak/>
        <w:t>“Todo tratamiento tributario diferencial entre estaciones de servicio ubicadas en zonas de frontera y aquellas localizadas en el resto del territorio nacional vulnera el principio de igualdad.”</w:t>
      </w:r>
    </w:p>
    <w:p w14:paraId="6F960173" w14:textId="77777777" w:rsidR="005B29C0" w:rsidRDefault="00000000" w:rsidP="005B29C0">
      <w:pPr>
        <w:jc w:val="both"/>
        <w:rPr>
          <w:color w:val="000000" w:themeColor="text1"/>
          <w:lang w:val="es-CO"/>
        </w:rPr>
      </w:pPr>
      <w:r w:rsidRPr="005B29C0">
        <w:rPr>
          <w:color w:val="000000" w:themeColor="text1"/>
          <w:lang w:val="es-CO"/>
        </w:rPr>
        <w:br/>
      </w:r>
      <w:r w:rsidRPr="005B29C0">
        <w:rPr>
          <w:color w:val="000000" w:themeColor="text1"/>
          <w:lang w:val="es-CO"/>
        </w:rPr>
        <w:br/>
        <w:t>Sin embargo, dicha proposición normativa resulta insuficiente desde la perspectiva constitucional, por varias razones:</w:t>
      </w:r>
    </w:p>
    <w:p w14:paraId="3BC84E14" w14:textId="77777777" w:rsidR="005B29C0" w:rsidRDefault="00000000" w:rsidP="005B29C0">
      <w:pPr>
        <w:jc w:val="both"/>
        <w:rPr>
          <w:color w:val="000000" w:themeColor="text1"/>
          <w:lang w:val="es-CO"/>
        </w:rPr>
      </w:pPr>
      <w:r w:rsidRPr="005B29C0">
        <w:rPr>
          <w:color w:val="000000" w:themeColor="text1"/>
          <w:lang w:val="es-CO"/>
        </w:rPr>
        <w:br/>
        <w:t>(i) desconoce que el principio de igualdad admite diferenciaciones razonables;</w:t>
      </w:r>
      <w:r w:rsidRPr="005B29C0">
        <w:rPr>
          <w:color w:val="000000" w:themeColor="text1"/>
          <w:lang w:val="es-CO"/>
        </w:rPr>
        <w:br/>
      </w:r>
      <w:r w:rsidRPr="005B29C0">
        <w:rPr>
          <w:color w:val="000000" w:themeColor="text1"/>
          <w:lang w:val="es-CO"/>
        </w:rPr>
        <w:br/>
        <w:t>(</w:t>
      </w:r>
      <w:proofErr w:type="spellStart"/>
      <w:r w:rsidRPr="005B29C0">
        <w:rPr>
          <w:color w:val="000000" w:themeColor="text1"/>
          <w:lang w:val="es-CO"/>
        </w:rPr>
        <w:t>ii</w:t>
      </w:r>
      <w:proofErr w:type="spellEnd"/>
      <w:r w:rsidRPr="005B29C0">
        <w:rPr>
          <w:color w:val="000000" w:themeColor="text1"/>
          <w:lang w:val="es-CO"/>
        </w:rPr>
        <w:t>) omite desarrollar la especial naturaleza constitucional y legal de los regímenes de frontera;</w:t>
      </w:r>
      <w:r w:rsidRPr="005B29C0">
        <w:rPr>
          <w:color w:val="000000" w:themeColor="text1"/>
          <w:lang w:val="es-CO"/>
        </w:rPr>
        <w:br/>
      </w:r>
      <w:r w:rsidRPr="005B29C0">
        <w:rPr>
          <w:color w:val="000000" w:themeColor="text1"/>
          <w:lang w:val="es-CO"/>
        </w:rPr>
        <w:br/>
        <w:t>(</w:t>
      </w:r>
      <w:proofErr w:type="spellStart"/>
      <w:r w:rsidRPr="005B29C0">
        <w:rPr>
          <w:color w:val="000000" w:themeColor="text1"/>
          <w:lang w:val="es-CO"/>
        </w:rPr>
        <w:t>iii</w:t>
      </w:r>
      <w:proofErr w:type="spellEnd"/>
      <w:r w:rsidRPr="005B29C0">
        <w:rPr>
          <w:color w:val="000000" w:themeColor="text1"/>
          <w:lang w:val="es-CO"/>
        </w:rPr>
        <w:t xml:space="preserve">) no construye adecuadamente el </w:t>
      </w:r>
      <w:proofErr w:type="spellStart"/>
      <w:r w:rsidRPr="005B29C0">
        <w:rPr>
          <w:color w:val="000000" w:themeColor="text1"/>
          <w:lang w:val="es-CO"/>
        </w:rPr>
        <w:t>tertium</w:t>
      </w:r>
      <w:proofErr w:type="spellEnd"/>
      <w:r w:rsidRPr="005B29C0">
        <w:rPr>
          <w:color w:val="000000" w:themeColor="text1"/>
          <w:lang w:val="es-CO"/>
        </w:rPr>
        <w:t xml:space="preserve"> </w:t>
      </w:r>
      <w:proofErr w:type="spellStart"/>
      <w:r w:rsidRPr="005B29C0">
        <w:rPr>
          <w:color w:val="000000" w:themeColor="text1"/>
          <w:lang w:val="es-CO"/>
        </w:rPr>
        <w:t>comparationis</w:t>
      </w:r>
      <w:proofErr w:type="spellEnd"/>
      <w:r w:rsidRPr="005B29C0">
        <w:rPr>
          <w:color w:val="000000" w:themeColor="text1"/>
          <w:lang w:val="es-CO"/>
        </w:rPr>
        <w:t xml:space="preserve"> requerido por el juicio integrado de igualdad;</w:t>
      </w:r>
      <w:r w:rsidR="005B29C0">
        <w:rPr>
          <w:color w:val="000000" w:themeColor="text1"/>
          <w:lang w:val="es-CO"/>
        </w:rPr>
        <w:t xml:space="preserve"> </w:t>
      </w:r>
      <w:r w:rsidRPr="005B29C0">
        <w:rPr>
          <w:color w:val="000000" w:themeColor="text1"/>
          <w:lang w:val="es-CO"/>
        </w:rPr>
        <w:t>y</w:t>
      </w:r>
    </w:p>
    <w:p w14:paraId="257C8D18" w14:textId="77777777" w:rsidR="005B29C0" w:rsidRDefault="00000000" w:rsidP="005B29C0">
      <w:pPr>
        <w:jc w:val="both"/>
        <w:rPr>
          <w:color w:val="000000" w:themeColor="text1"/>
          <w:lang w:val="es-CO"/>
        </w:rPr>
      </w:pPr>
      <w:r w:rsidRPr="005B29C0">
        <w:rPr>
          <w:color w:val="000000" w:themeColor="text1"/>
          <w:lang w:val="es-CO"/>
        </w:rPr>
        <w:br/>
        <w:t>(</w:t>
      </w:r>
      <w:proofErr w:type="spellStart"/>
      <w:r w:rsidRPr="005B29C0">
        <w:rPr>
          <w:color w:val="000000" w:themeColor="text1"/>
          <w:lang w:val="es-CO"/>
        </w:rPr>
        <w:t>iv</w:t>
      </w:r>
      <w:proofErr w:type="spellEnd"/>
      <w:r w:rsidRPr="005B29C0">
        <w:rPr>
          <w:color w:val="000000" w:themeColor="text1"/>
          <w:lang w:val="es-CO"/>
        </w:rPr>
        <w:t>) no demuestra por qué el tratamiento diferencial carece de finalidad constitucional legítima o resulta desproporcionado.</w:t>
      </w:r>
    </w:p>
    <w:p w14:paraId="2D1E7742" w14:textId="77777777" w:rsidR="005B29C0" w:rsidRDefault="00000000" w:rsidP="005B29C0">
      <w:pPr>
        <w:jc w:val="both"/>
        <w:rPr>
          <w:color w:val="000000" w:themeColor="text1"/>
          <w:lang w:val="es-CO"/>
        </w:rPr>
      </w:pPr>
      <w:r w:rsidRPr="005B29C0">
        <w:rPr>
          <w:color w:val="000000" w:themeColor="text1"/>
          <w:lang w:val="es-CO"/>
        </w:rPr>
        <w:br/>
        <w:t>La Corte Constitucional ha reconocido que la igualdad material permite e incluso exige la adopción de medidas diferenciadas cuando estas buscan compensar desequilibrios estructurales, proteger territorios con dinámicas económicas excepcionales o garantizar condiciones reales de equilibrio social y económico.</w:t>
      </w:r>
    </w:p>
    <w:p w14:paraId="694BFA19" w14:textId="77777777" w:rsidR="008E05C3" w:rsidRPr="005B29C0" w:rsidRDefault="00000000" w:rsidP="005B29C0">
      <w:pPr>
        <w:pStyle w:val="Ttulo1"/>
        <w:jc w:val="both"/>
        <w:rPr>
          <w:color w:val="000000" w:themeColor="text1"/>
          <w:lang w:val="es-CO"/>
        </w:rPr>
      </w:pPr>
      <w:r w:rsidRPr="005B29C0">
        <w:rPr>
          <w:color w:val="000000" w:themeColor="text1"/>
          <w:lang w:val="es-CO"/>
        </w:rPr>
        <w:t>III. EL JUICIO INTEGRADO DE IGUALDAD APLICABLE AL CASO</w:t>
      </w:r>
    </w:p>
    <w:p w14:paraId="4D1B1576" w14:textId="77777777" w:rsidR="005B29C0" w:rsidRDefault="00000000" w:rsidP="005B29C0">
      <w:pPr>
        <w:jc w:val="both"/>
        <w:rPr>
          <w:color w:val="000000" w:themeColor="text1"/>
          <w:lang w:val="es-CO"/>
        </w:rPr>
      </w:pPr>
      <w:r w:rsidRPr="005B29C0">
        <w:rPr>
          <w:color w:val="000000" w:themeColor="text1"/>
          <w:lang w:val="es-CO"/>
        </w:rPr>
        <w:br/>
        <w:t>La Corte Constitucional ha construido el denominado “juicio integrado de igualdad”, el cual combina el test europeo de razonabilidad con los distintos niveles de escrutinio desarrollados por la jurisprudencia norteamericana.</w:t>
      </w:r>
    </w:p>
    <w:p w14:paraId="45EDFDBC" w14:textId="77777777" w:rsidR="005B29C0" w:rsidRDefault="00000000" w:rsidP="005B29C0">
      <w:pPr>
        <w:jc w:val="both"/>
        <w:rPr>
          <w:color w:val="000000" w:themeColor="text1"/>
          <w:lang w:val="es-CO"/>
        </w:rPr>
      </w:pPr>
      <w:r w:rsidRPr="005B29C0">
        <w:rPr>
          <w:color w:val="000000" w:themeColor="text1"/>
          <w:lang w:val="es-CO"/>
        </w:rPr>
        <w:br/>
        <w:t>De acuerdo con la jurisprudencia constitucional, el juicio integrado de igualdad exige tres etapas metodológicas:</w:t>
      </w:r>
    </w:p>
    <w:p w14:paraId="22C68380" w14:textId="562BF49B" w:rsidR="008E05C3" w:rsidRPr="005B29C0" w:rsidRDefault="00000000" w:rsidP="005B29C0">
      <w:pPr>
        <w:jc w:val="both"/>
        <w:rPr>
          <w:color w:val="000000" w:themeColor="text1"/>
          <w:lang w:val="es-CO"/>
        </w:rPr>
      </w:pPr>
      <w:r w:rsidRPr="005B29C0">
        <w:rPr>
          <w:color w:val="000000" w:themeColor="text1"/>
          <w:lang w:val="es-CO"/>
        </w:rPr>
        <w:br/>
        <w:t xml:space="preserve">(i) establecer el criterio de comparación o </w:t>
      </w:r>
      <w:proofErr w:type="spellStart"/>
      <w:r w:rsidRPr="005B29C0">
        <w:rPr>
          <w:color w:val="000000" w:themeColor="text1"/>
          <w:lang w:val="es-CO"/>
        </w:rPr>
        <w:t>tertium</w:t>
      </w:r>
      <w:proofErr w:type="spellEnd"/>
      <w:r w:rsidRPr="005B29C0">
        <w:rPr>
          <w:color w:val="000000" w:themeColor="text1"/>
          <w:lang w:val="es-CO"/>
        </w:rPr>
        <w:t xml:space="preserve"> </w:t>
      </w:r>
      <w:proofErr w:type="spellStart"/>
      <w:r w:rsidRPr="005B29C0">
        <w:rPr>
          <w:color w:val="000000" w:themeColor="text1"/>
          <w:lang w:val="es-CO"/>
        </w:rPr>
        <w:t>comparationis</w:t>
      </w:r>
      <w:proofErr w:type="spellEnd"/>
      <w:r w:rsidRPr="005B29C0">
        <w:rPr>
          <w:color w:val="000000" w:themeColor="text1"/>
          <w:lang w:val="es-CO"/>
        </w:rPr>
        <w:t>;</w:t>
      </w:r>
      <w:r w:rsidRPr="005B29C0">
        <w:rPr>
          <w:color w:val="000000" w:themeColor="text1"/>
          <w:lang w:val="es-CO"/>
        </w:rPr>
        <w:br/>
      </w:r>
      <w:r w:rsidRPr="005B29C0">
        <w:rPr>
          <w:color w:val="000000" w:themeColor="text1"/>
          <w:lang w:val="es-CO"/>
        </w:rPr>
        <w:br/>
      </w:r>
      <w:r w:rsidRPr="005B29C0">
        <w:rPr>
          <w:color w:val="000000" w:themeColor="text1"/>
          <w:lang w:val="es-CO"/>
        </w:rPr>
        <w:lastRenderedPageBreak/>
        <w:t>(</w:t>
      </w:r>
      <w:proofErr w:type="spellStart"/>
      <w:r w:rsidRPr="005B29C0">
        <w:rPr>
          <w:color w:val="000000" w:themeColor="text1"/>
          <w:lang w:val="es-CO"/>
        </w:rPr>
        <w:t>ii</w:t>
      </w:r>
      <w:proofErr w:type="spellEnd"/>
      <w:r w:rsidRPr="005B29C0">
        <w:rPr>
          <w:color w:val="000000" w:themeColor="text1"/>
          <w:lang w:val="es-CO"/>
        </w:rPr>
        <w:t>) determinar si existe trato desigual entre sujetos comparables; y</w:t>
      </w:r>
      <w:r w:rsidRPr="005B29C0">
        <w:rPr>
          <w:color w:val="000000" w:themeColor="text1"/>
          <w:lang w:val="es-CO"/>
        </w:rPr>
        <w:br/>
      </w:r>
      <w:r w:rsidRPr="005B29C0">
        <w:rPr>
          <w:color w:val="000000" w:themeColor="text1"/>
          <w:lang w:val="es-CO"/>
        </w:rPr>
        <w:br/>
        <w:t>(</w:t>
      </w:r>
      <w:proofErr w:type="spellStart"/>
      <w:r w:rsidRPr="005B29C0">
        <w:rPr>
          <w:color w:val="000000" w:themeColor="text1"/>
          <w:lang w:val="es-CO"/>
        </w:rPr>
        <w:t>iii</w:t>
      </w:r>
      <w:proofErr w:type="spellEnd"/>
      <w:r w:rsidRPr="005B29C0">
        <w:rPr>
          <w:color w:val="000000" w:themeColor="text1"/>
          <w:lang w:val="es-CO"/>
        </w:rPr>
        <w:t>) establecer si la diferencia de trato se encuentra constitucionalmente justificada.</w:t>
      </w:r>
      <w:r w:rsidRPr="005B29C0">
        <w:rPr>
          <w:color w:val="000000" w:themeColor="text1"/>
          <w:lang w:val="es-CO"/>
        </w:rPr>
        <w:br/>
      </w:r>
      <w:r w:rsidRPr="005B29C0">
        <w:rPr>
          <w:color w:val="000000" w:themeColor="text1"/>
          <w:lang w:val="es-CO"/>
        </w:rPr>
        <w:br/>
        <w:t>La demanda proyectada desarrolla parcialmente la segunda etapa —esto es, la existencia de una diferencia normativa—, pero no construye suficientemente las demás fases del examen.</w:t>
      </w:r>
      <w:r w:rsidRPr="005B29C0">
        <w:rPr>
          <w:color w:val="000000" w:themeColor="text1"/>
          <w:lang w:val="es-CO"/>
        </w:rPr>
        <w:br/>
      </w:r>
    </w:p>
    <w:p w14:paraId="34AF86FD" w14:textId="77777777" w:rsidR="008E05C3" w:rsidRPr="005B29C0" w:rsidRDefault="00000000" w:rsidP="005B29C0">
      <w:pPr>
        <w:pStyle w:val="Ttulo1"/>
        <w:jc w:val="both"/>
        <w:rPr>
          <w:color w:val="000000" w:themeColor="text1"/>
          <w:lang w:val="es-CO"/>
        </w:rPr>
      </w:pPr>
      <w:r w:rsidRPr="005B29C0">
        <w:rPr>
          <w:color w:val="000000" w:themeColor="text1"/>
          <w:lang w:val="es-CO"/>
        </w:rPr>
        <w:t>IV. EL PROBLEMA DEL TERTIUM COMPARATIONIS</w:t>
      </w:r>
    </w:p>
    <w:p w14:paraId="7A11585F" w14:textId="77777777" w:rsidR="005B29C0" w:rsidRDefault="00000000" w:rsidP="005B29C0">
      <w:pPr>
        <w:jc w:val="both"/>
        <w:rPr>
          <w:color w:val="000000" w:themeColor="text1"/>
          <w:lang w:val="es-CO"/>
        </w:rPr>
      </w:pPr>
      <w:r w:rsidRPr="005B29C0">
        <w:rPr>
          <w:color w:val="000000" w:themeColor="text1"/>
          <w:lang w:val="es-CO"/>
        </w:rPr>
        <w:br/>
        <w:t>Uno de los principales déficits metodológicos advertidos consiste en que la proyección parece asumir, sin suficiente desarrollo argumentativo, que las estaciones de servicio ubicadas en zonas de frontera y aquellas situadas fuera de dichas zonas constituyen sujetos plenamente homogéneos.</w:t>
      </w:r>
    </w:p>
    <w:p w14:paraId="5628D43A" w14:textId="77777777" w:rsidR="005B29C0" w:rsidRDefault="00000000" w:rsidP="005B29C0">
      <w:pPr>
        <w:jc w:val="both"/>
        <w:rPr>
          <w:color w:val="000000" w:themeColor="text1"/>
          <w:lang w:val="es-CO"/>
        </w:rPr>
      </w:pPr>
      <w:r w:rsidRPr="005B29C0">
        <w:rPr>
          <w:color w:val="000000" w:themeColor="text1"/>
          <w:lang w:val="es-CO"/>
        </w:rPr>
        <w:br/>
        <w:t>No obstante, precisamente la existencia de un régimen especial de frontera parte del reconocimiento constitucional y legal de condiciones territoriales, económicas y logísticas distintas.</w:t>
      </w:r>
    </w:p>
    <w:p w14:paraId="1B8795DD" w14:textId="77777777" w:rsidR="005B29C0" w:rsidRDefault="00000000" w:rsidP="005B29C0">
      <w:pPr>
        <w:jc w:val="both"/>
        <w:rPr>
          <w:color w:val="000000" w:themeColor="text1"/>
          <w:lang w:val="es-CO"/>
        </w:rPr>
      </w:pPr>
      <w:r w:rsidRPr="005B29C0">
        <w:rPr>
          <w:color w:val="000000" w:themeColor="text1"/>
          <w:lang w:val="es-CO"/>
        </w:rPr>
        <w:br/>
        <w:t>Por ello, antes de afirmar la existencia de un trato discriminatorio, la demanda debería demostrar por qué, pese a dichas diferencias estructurales, ambos grupos resultan plenamente comparables desde la perspectiva constitucional.</w:t>
      </w:r>
    </w:p>
    <w:p w14:paraId="4CDA684F" w14:textId="3B8CF2B0" w:rsidR="008E05C3" w:rsidRPr="005B29C0" w:rsidRDefault="008E05C3" w:rsidP="005B29C0">
      <w:pPr>
        <w:jc w:val="both"/>
        <w:rPr>
          <w:color w:val="000000" w:themeColor="text1"/>
          <w:lang w:val="es-CO"/>
        </w:rPr>
      </w:pPr>
    </w:p>
    <w:p w14:paraId="71E074B7" w14:textId="77777777" w:rsidR="008E05C3" w:rsidRPr="005B29C0" w:rsidRDefault="00000000" w:rsidP="005B29C0">
      <w:pPr>
        <w:pStyle w:val="Ttulo1"/>
        <w:jc w:val="both"/>
        <w:rPr>
          <w:color w:val="000000" w:themeColor="text1"/>
          <w:lang w:val="es-CO"/>
        </w:rPr>
      </w:pPr>
      <w:r w:rsidRPr="005B29C0">
        <w:rPr>
          <w:color w:val="000000" w:themeColor="text1"/>
          <w:lang w:val="es-CO"/>
        </w:rPr>
        <w:t>V. LA NECESIDAD DE DEFINIR LA INTENSIDAD DEL TEST</w:t>
      </w:r>
    </w:p>
    <w:p w14:paraId="27387D28" w14:textId="77777777" w:rsidR="005B29C0" w:rsidRDefault="00000000" w:rsidP="005B29C0">
      <w:pPr>
        <w:jc w:val="both"/>
        <w:rPr>
          <w:color w:val="000000" w:themeColor="text1"/>
          <w:lang w:val="es-CO"/>
        </w:rPr>
      </w:pPr>
      <w:r w:rsidRPr="005B29C0">
        <w:rPr>
          <w:color w:val="000000" w:themeColor="text1"/>
          <w:lang w:val="es-CO"/>
        </w:rPr>
        <w:br/>
        <w:t>La jurisprudencia constitucional ha señalado que el juicio integrado de igualdad puede desarrollarse mediante escrutinio leve, intermedio o estricto, dependiendo del tipo de medida, del derecho comprometido y de la categoría utilizada por el legislador.</w:t>
      </w:r>
      <w:r w:rsidRPr="005B29C0">
        <w:rPr>
          <w:color w:val="000000" w:themeColor="text1"/>
          <w:lang w:val="es-CO"/>
        </w:rPr>
        <w:br/>
      </w:r>
      <w:r w:rsidRPr="005B29C0">
        <w:rPr>
          <w:color w:val="000000" w:themeColor="text1"/>
          <w:lang w:val="es-CO"/>
        </w:rPr>
        <w:br/>
        <w:t>La intensidad del juicio resulta decisiva, pues una medida puede superar un test leve pero fracasar frente a un test estricto.</w:t>
      </w:r>
      <w:r w:rsidR="005B29C0">
        <w:rPr>
          <w:color w:val="000000" w:themeColor="text1"/>
          <w:lang w:val="es-CO"/>
        </w:rPr>
        <w:t xml:space="preserve"> </w:t>
      </w:r>
      <w:r w:rsidRPr="005B29C0">
        <w:rPr>
          <w:color w:val="000000" w:themeColor="text1"/>
          <w:lang w:val="es-CO"/>
        </w:rPr>
        <w:t>En el caso analizado, la proyección no desarrolla suficientemente la razón por la cual debería aplicarse un escrutinio estricto.</w:t>
      </w:r>
      <w:r w:rsidRPr="005B29C0">
        <w:rPr>
          <w:color w:val="000000" w:themeColor="text1"/>
          <w:lang w:val="es-CO"/>
        </w:rPr>
        <w:br/>
      </w:r>
      <w:r w:rsidRPr="005B29C0">
        <w:rPr>
          <w:color w:val="000000" w:themeColor="text1"/>
          <w:lang w:val="es-CO"/>
        </w:rPr>
        <w:br/>
        <w:t xml:space="preserve">Ello resulta particularmente relevante porque en materia tributaria la Corte Constitucional ha reconocido tradicionalmente un amplio margen de configuración normativa al </w:t>
      </w:r>
      <w:r w:rsidRPr="005B29C0">
        <w:rPr>
          <w:color w:val="000000" w:themeColor="text1"/>
          <w:lang w:val="es-CO"/>
        </w:rPr>
        <w:lastRenderedPageBreak/>
        <w:t>legislador. En consecuencia, para desplazar dicha presunción de constitucionalidad sería necesario justificar por qué el diferencial tributario cuestionado compromete categorías sospechosas, afecta gravemente derechos fundamentales o introduce medidas manifiestamente arbitrarias.</w:t>
      </w:r>
    </w:p>
    <w:p w14:paraId="4AEA7E66" w14:textId="3D26299E" w:rsidR="008E05C3" w:rsidRPr="005B29C0" w:rsidRDefault="008E05C3" w:rsidP="005B29C0">
      <w:pPr>
        <w:jc w:val="both"/>
        <w:rPr>
          <w:color w:val="000000" w:themeColor="text1"/>
          <w:lang w:val="es-CO"/>
        </w:rPr>
      </w:pPr>
    </w:p>
    <w:p w14:paraId="20FFFAE1" w14:textId="77777777" w:rsidR="008E05C3" w:rsidRPr="005B29C0" w:rsidRDefault="00000000" w:rsidP="005B29C0">
      <w:pPr>
        <w:pStyle w:val="Ttulo1"/>
        <w:jc w:val="both"/>
        <w:rPr>
          <w:color w:val="000000" w:themeColor="text1"/>
          <w:lang w:val="es-CO"/>
        </w:rPr>
      </w:pPr>
      <w:r w:rsidRPr="005B29C0">
        <w:rPr>
          <w:color w:val="000000" w:themeColor="text1"/>
          <w:lang w:val="es-CO"/>
        </w:rPr>
        <w:t>VI. EL TEST DE PROPORCIONALIDAD Y SUS ETAPAS</w:t>
      </w:r>
    </w:p>
    <w:p w14:paraId="7F123648" w14:textId="77777777" w:rsidR="005B29C0" w:rsidRDefault="00000000" w:rsidP="005B29C0">
      <w:pPr>
        <w:jc w:val="both"/>
        <w:rPr>
          <w:color w:val="000000" w:themeColor="text1"/>
          <w:lang w:val="es-CO"/>
        </w:rPr>
      </w:pPr>
      <w:r w:rsidRPr="005B29C0">
        <w:rPr>
          <w:color w:val="000000" w:themeColor="text1"/>
          <w:lang w:val="es-CO"/>
        </w:rPr>
        <w:br/>
        <w:t>La jurisprudencia constitucional ha sostenido que el test de proporcionalidad se compone de tres grandes etapas: idoneidad, necesidad y proporcionalidad en sentido estricto.</w:t>
      </w:r>
      <w:r w:rsidRPr="005B29C0">
        <w:rPr>
          <w:color w:val="000000" w:themeColor="text1"/>
          <w:lang w:val="es-CO"/>
        </w:rPr>
        <w:br/>
      </w:r>
      <w:r w:rsidRPr="005B29C0">
        <w:rPr>
          <w:color w:val="000000" w:themeColor="text1"/>
          <w:lang w:val="es-CO"/>
        </w:rPr>
        <w:br/>
        <w:t>A.</w:t>
      </w:r>
      <w:r w:rsidR="005B29C0">
        <w:rPr>
          <w:color w:val="000000" w:themeColor="text1"/>
          <w:lang w:val="es-CO"/>
        </w:rPr>
        <w:t xml:space="preserve"> </w:t>
      </w:r>
      <w:r w:rsidRPr="005B29C0">
        <w:rPr>
          <w:color w:val="000000" w:themeColor="text1"/>
          <w:lang w:val="es-CO"/>
        </w:rPr>
        <w:t>Idoneidad</w:t>
      </w:r>
    </w:p>
    <w:p w14:paraId="20599A86" w14:textId="2889C519" w:rsidR="005B29C0" w:rsidRDefault="00000000" w:rsidP="005B29C0">
      <w:pPr>
        <w:jc w:val="both"/>
        <w:rPr>
          <w:color w:val="000000" w:themeColor="text1"/>
          <w:lang w:val="es-CO"/>
        </w:rPr>
      </w:pPr>
      <w:r w:rsidRPr="005B29C0">
        <w:rPr>
          <w:color w:val="000000" w:themeColor="text1"/>
          <w:lang w:val="es-CO"/>
        </w:rPr>
        <w:t>La idoneidad exige determinar si la medida persigue fines constitucionalmente legítimos y si resulta apta para alcanzarlos.</w:t>
      </w:r>
    </w:p>
    <w:p w14:paraId="6ACADBFC" w14:textId="77777777" w:rsidR="005B29C0" w:rsidRDefault="00000000" w:rsidP="005B29C0">
      <w:pPr>
        <w:jc w:val="both"/>
        <w:rPr>
          <w:color w:val="000000" w:themeColor="text1"/>
          <w:lang w:val="es-CO"/>
        </w:rPr>
      </w:pPr>
      <w:r w:rsidRPr="005B29C0">
        <w:rPr>
          <w:color w:val="000000" w:themeColor="text1"/>
          <w:lang w:val="es-CO"/>
        </w:rPr>
        <w:br/>
        <w:t>En el caso analizado, el borrador de demanda no desarrolla suficientemente por qué los tratamientos especiales de frontera carecerían de finalidades constitucionales legítimas. Por el contrario, es posible advertir que dichas medidas podrían relacionarse con objetivos constitucionalmente relevantes como:</w:t>
      </w:r>
    </w:p>
    <w:p w14:paraId="17484BD4" w14:textId="66E5D35A" w:rsidR="008E05C3" w:rsidRPr="005B29C0" w:rsidRDefault="00000000" w:rsidP="005B29C0">
      <w:pPr>
        <w:rPr>
          <w:color w:val="000000" w:themeColor="text1"/>
          <w:lang w:val="es-CO"/>
        </w:rPr>
      </w:pPr>
      <w:r w:rsidRPr="005B29C0">
        <w:rPr>
          <w:color w:val="000000" w:themeColor="text1"/>
          <w:lang w:val="es-CO"/>
        </w:rPr>
        <w:br/>
        <w:t>• estabilidad económica regional;</w:t>
      </w:r>
      <w:r w:rsidRPr="005B29C0">
        <w:rPr>
          <w:color w:val="000000" w:themeColor="text1"/>
          <w:lang w:val="es-CO"/>
        </w:rPr>
        <w:br/>
        <w:t>• protección de territorios de frontera;</w:t>
      </w:r>
      <w:r w:rsidRPr="005B29C0">
        <w:rPr>
          <w:color w:val="000000" w:themeColor="text1"/>
          <w:lang w:val="es-CO"/>
        </w:rPr>
        <w:br/>
        <w:t>• garantía de abastecimiento;</w:t>
      </w:r>
      <w:r w:rsidRPr="005B29C0">
        <w:rPr>
          <w:color w:val="000000" w:themeColor="text1"/>
          <w:lang w:val="es-CO"/>
        </w:rPr>
        <w:br/>
        <w:t>• control de economías ilegales;</w:t>
      </w:r>
      <w:r w:rsidRPr="005B29C0">
        <w:rPr>
          <w:color w:val="000000" w:themeColor="text1"/>
          <w:lang w:val="es-CO"/>
        </w:rPr>
        <w:br/>
        <w:t>• equilibrio competitivo frente a dinámicas transfronterizas;</w:t>
      </w:r>
      <w:r w:rsidRPr="005B29C0">
        <w:rPr>
          <w:color w:val="000000" w:themeColor="text1"/>
          <w:lang w:val="es-CO"/>
        </w:rPr>
        <w:br/>
        <w:t>• preservación de condiciones mínimas de sostenibilidad económica.</w:t>
      </w:r>
      <w:r w:rsidRPr="005B29C0">
        <w:rPr>
          <w:color w:val="000000" w:themeColor="text1"/>
          <w:lang w:val="es-CO"/>
        </w:rPr>
        <w:br/>
      </w:r>
      <w:r w:rsidRPr="005B29C0">
        <w:rPr>
          <w:color w:val="000000" w:themeColor="text1"/>
          <w:lang w:val="es-CO"/>
        </w:rPr>
        <w:br/>
        <w:t>En consecuencia, para superar el examen de idoneidad, la demanda tendría que demostrar que la medida resulta manifiestamente inadecuada o desconectada de tales finalidades.</w:t>
      </w:r>
      <w:r w:rsidRPr="005B29C0">
        <w:rPr>
          <w:color w:val="000000" w:themeColor="text1"/>
          <w:lang w:val="es-CO"/>
        </w:rPr>
        <w:br/>
      </w:r>
      <w:r w:rsidRPr="005B29C0">
        <w:rPr>
          <w:color w:val="000000" w:themeColor="text1"/>
          <w:lang w:val="es-CO"/>
        </w:rPr>
        <w:br/>
        <w:t>B. Necesidad</w:t>
      </w:r>
      <w:r w:rsidRPr="005B29C0">
        <w:rPr>
          <w:color w:val="000000" w:themeColor="text1"/>
          <w:lang w:val="es-CO"/>
        </w:rPr>
        <w:br/>
      </w:r>
      <w:r w:rsidRPr="005B29C0">
        <w:rPr>
          <w:color w:val="000000" w:themeColor="text1"/>
          <w:lang w:val="es-CO"/>
        </w:rPr>
        <w:br/>
        <w:t>La necesidad exige demostrar que existen medios alternativos menos lesivos capaces de alcanzar idéntico fin constitucional.</w:t>
      </w:r>
      <w:r w:rsidRPr="005B29C0">
        <w:rPr>
          <w:color w:val="000000" w:themeColor="text1"/>
          <w:lang w:val="es-CO"/>
        </w:rPr>
        <w:br/>
      </w:r>
      <w:r w:rsidRPr="005B29C0">
        <w:rPr>
          <w:color w:val="000000" w:themeColor="text1"/>
          <w:lang w:val="es-CO"/>
        </w:rPr>
        <w:br/>
        <w:t xml:space="preserve">Aquí aparece otro vacío importante de la proyección: la demanda cuestiona la existencia del diferencial tributario, pero no desarrolla suficientemente cuáles serían las alternativas </w:t>
      </w:r>
      <w:r w:rsidRPr="005B29C0">
        <w:rPr>
          <w:color w:val="000000" w:themeColor="text1"/>
          <w:lang w:val="es-CO"/>
        </w:rPr>
        <w:lastRenderedPageBreak/>
        <w:t>regulatorias menos lesivas ni explica por qué ellas permitirían alcanzar los mismos objetivos perseguidos por el legislador.</w:t>
      </w:r>
      <w:r w:rsidRPr="005B29C0">
        <w:rPr>
          <w:color w:val="000000" w:themeColor="text1"/>
          <w:lang w:val="es-CO"/>
        </w:rPr>
        <w:br/>
      </w:r>
      <w:r w:rsidRPr="005B29C0">
        <w:rPr>
          <w:color w:val="000000" w:themeColor="text1"/>
          <w:lang w:val="es-CO"/>
        </w:rPr>
        <w:br/>
        <w:t>C. Proporcionalidad en sentido estricto</w:t>
      </w:r>
      <w:r w:rsidRPr="005B29C0">
        <w:rPr>
          <w:color w:val="000000" w:themeColor="text1"/>
          <w:lang w:val="es-CO"/>
        </w:rPr>
        <w:br/>
      </w:r>
      <w:r w:rsidRPr="005B29C0">
        <w:rPr>
          <w:color w:val="000000" w:themeColor="text1"/>
          <w:lang w:val="es-CO"/>
        </w:rPr>
        <w:br/>
        <w:t>La proporcionalidad estricta exige ponderar las ventajas constitucionales derivadas de eliminar la medida frente a las afectaciones que dicha eliminación podría producir.</w:t>
      </w:r>
      <w:r w:rsidRPr="005B29C0">
        <w:rPr>
          <w:color w:val="000000" w:themeColor="text1"/>
          <w:lang w:val="es-CO"/>
        </w:rPr>
        <w:br/>
      </w:r>
      <w:r w:rsidRPr="005B29C0">
        <w:rPr>
          <w:color w:val="000000" w:themeColor="text1"/>
          <w:lang w:val="es-CO"/>
        </w:rPr>
        <w:br/>
        <w:t>En este punto, la demanda tampoco desarrolla un verdadero ejercicio de ponderación constitucional. No se evalúan suficientemente los posibles impactos sobre:</w:t>
      </w:r>
      <w:r w:rsidRPr="005B29C0">
        <w:rPr>
          <w:color w:val="000000" w:themeColor="text1"/>
          <w:lang w:val="es-CO"/>
        </w:rPr>
        <w:br/>
      </w:r>
      <w:r w:rsidRPr="005B29C0">
        <w:rPr>
          <w:color w:val="000000" w:themeColor="text1"/>
          <w:lang w:val="es-CO"/>
        </w:rPr>
        <w:br/>
        <w:t>• dinámicas económicas regionales;</w:t>
      </w:r>
      <w:r w:rsidRPr="005B29C0">
        <w:rPr>
          <w:color w:val="000000" w:themeColor="text1"/>
          <w:lang w:val="es-CO"/>
        </w:rPr>
        <w:br/>
        <w:t>• sostenibilidad de estaciones de servicio en frontera;</w:t>
      </w:r>
      <w:r w:rsidRPr="005B29C0">
        <w:rPr>
          <w:color w:val="000000" w:themeColor="text1"/>
          <w:lang w:val="es-CO"/>
        </w:rPr>
        <w:br/>
        <w:t>• abastecimiento territorial;</w:t>
      </w:r>
      <w:r w:rsidRPr="005B29C0">
        <w:rPr>
          <w:color w:val="000000" w:themeColor="text1"/>
          <w:lang w:val="es-CO"/>
        </w:rPr>
        <w:br/>
        <w:t>• economías informales o ilícitas;</w:t>
      </w:r>
      <w:r w:rsidRPr="005B29C0">
        <w:rPr>
          <w:color w:val="000000" w:themeColor="text1"/>
          <w:lang w:val="es-CO"/>
        </w:rPr>
        <w:br/>
        <w:t>• condiciones de competitividad frente a territorios limítrofes.</w:t>
      </w:r>
      <w:r w:rsidRPr="005B29C0">
        <w:rPr>
          <w:color w:val="000000" w:themeColor="text1"/>
          <w:lang w:val="es-CO"/>
        </w:rPr>
        <w:br/>
      </w:r>
    </w:p>
    <w:p w14:paraId="4B91BF6F" w14:textId="77777777" w:rsidR="008E05C3" w:rsidRPr="005B29C0" w:rsidRDefault="00000000" w:rsidP="005B29C0">
      <w:pPr>
        <w:pStyle w:val="Ttulo1"/>
        <w:jc w:val="both"/>
        <w:rPr>
          <w:color w:val="000000" w:themeColor="text1"/>
          <w:lang w:val="es-CO"/>
        </w:rPr>
      </w:pPr>
      <w:r w:rsidRPr="005B29C0">
        <w:rPr>
          <w:color w:val="000000" w:themeColor="text1"/>
          <w:lang w:val="es-CO"/>
        </w:rPr>
        <w:t>VII. LOS POSIBLES CARGOS CONSTITUCIONALES Y SUS DIFICULTADES</w:t>
      </w:r>
    </w:p>
    <w:p w14:paraId="3842CBFB" w14:textId="77777777" w:rsidR="005B29C0" w:rsidRDefault="00000000" w:rsidP="005B29C0">
      <w:pPr>
        <w:jc w:val="both"/>
        <w:rPr>
          <w:color w:val="000000" w:themeColor="text1"/>
          <w:lang w:val="es-CO"/>
        </w:rPr>
      </w:pPr>
      <w:r w:rsidRPr="005B29C0">
        <w:rPr>
          <w:color w:val="000000" w:themeColor="text1"/>
          <w:lang w:val="es-CO"/>
        </w:rPr>
        <w:br/>
        <w:t>A partir del borrador revisado, podrían identificarse tres posibles cargos constitucionales:</w:t>
      </w:r>
      <w:r w:rsidRPr="005B29C0">
        <w:rPr>
          <w:color w:val="000000" w:themeColor="text1"/>
          <w:lang w:val="es-CO"/>
        </w:rPr>
        <w:br/>
      </w:r>
      <w:r w:rsidRPr="005B29C0">
        <w:rPr>
          <w:color w:val="000000" w:themeColor="text1"/>
          <w:lang w:val="es-CO"/>
        </w:rPr>
        <w:br/>
      </w:r>
      <w:r w:rsidRPr="0026750B">
        <w:rPr>
          <w:b/>
          <w:bCs/>
          <w:color w:val="000000" w:themeColor="text1"/>
          <w:lang w:val="es-CO"/>
        </w:rPr>
        <w:t>1. Cargo por vulneración del principio de igualdad tributaria.</w:t>
      </w:r>
    </w:p>
    <w:p w14:paraId="0DE830BB" w14:textId="5A0DD89F" w:rsidR="005B29C0" w:rsidRDefault="00000000" w:rsidP="005B29C0">
      <w:pPr>
        <w:jc w:val="both"/>
        <w:rPr>
          <w:color w:val="000000" w:themeColor="text1"/>
          <w:lang w:val="es-CO"/>
        </w:rPr>
      </w:pPr>
      <w:r w:rsidRPr="005B29C0">
        <w:rPr>
          <w:color w:val="000000" w:themeColor="text1"/>
          <w:lang w:val="es-CO"/>
        </w:rPr>
        <w:br/>
        <w:t>Este cargo exigiría demostrar que el tratamiento diferencial carece de justificación objetiva y razonable.</w:t>
      </w:r>
      <w:r w:rsidR="005B29C0">
        <w:rPr>
          <w:color w:val="000000" w:themeColor="text1"/>
          <w:lang w:val="es-CO"/>
        </w:rPr>
        <w:t xml:space="preserve"> </w:t>
      </w:r>
      <w:r w:rsidRPr="005B29C0">
        <w:rPr>
          <w:color w:val="000000" w:themeColor="text1"/>
          <w:lang w:val="es-CO"/>
        </w:rPr>
        <w:t>No obstante, actualmente el cargo parece insuficientemente desarrollado porque no construye plenamente el juicio integrado de igualdad ni explica por qué los sujetos comparados son constitucionalmente homogéneos.</w:t>
      </w:r>
    </w:p>
    <w:p w14:paraId="7E8F75B5" w14:textId="77777777" w:rsidR="005B29C0" w:rsidRPr="00F1667B" w:rsidRDefault="00000000" w:rsidP="005B29C0">
      <w:pPr>
        <w:jc w:val="both"/>
        <w:rPr>
          <w:b/>
          <w:bCs/>
          <w:color w:val="000000" w:themeColor="text1"/>
          <w:lang w:val="es-CO"/>
        </w:rPr>
      </w:pPr>
      <w:r w:rsidRPr="005B29C0">
        <w:rPr>
          <w:color w:val="000000" w:themeColor="text1"/>
          <w:lang w:val="es-CO"/>
        </w:rPr>
        <w:br/>
      </w:r>
      <w:r w:rsidRPr="005B29C0">
        <w:rPr>
          <w:color w:val="000000" w:themeColor="text1"/>
          <w:lang w:val="es-CO"/>
        </w:rPr>
        <w:br/>
      </w:r>
      <w:r w:rsidRPr="00F1667B">
        <w:rPr>
          <w:b/>
          <w:bCs/>
          <w:color w:val="000000" w:themeColor="text1"/>
          <w:lang w:val="es-CO"/>
        </w:rPr>
        <w:t>2. Cargo por violación del principio de equidad tributaria.</w:t>
      </w:r>
    </w:p>
    <w:p w14:paraId="2BF1BC84" w14:textId="77777777" w:rsidR="00F1667B" w:rsidRDefault="00000000" w:rsidP="005B29C0">
      <w:pPr>
        <w:jc w:val="both"/>
        <w:rPr>
          <w:color w:val="000000" w:themeColor="text1"/>
          <w:lang w:val="es-CO"/>
        </w:rPr>
      </w:pPr>
      <w:r w:rsidRPr="005B29C0">
        <w:rPr>
          <w:color w:val="000000" w:themeColor="text1"/>
          <w:lang w:val="es-CO"/>
        </w:rPr>
        <w:t>Este cargo requeriría demostrar que la medida genera cargas arbitrarias o rompe injustificadamente el equilibrio tributario.</w:t>
      </w:r>
      <w:r w:rsidR="005B29C0">
        <w:rPr>
          <w:color w:val="000000" w:themeColor="text1"/>
          <w:lang w:val="es-CO"/>
        </w:rPr>
        <w:t xml:space="preserve"> </w:t>
      </w:r>
      <w:r w:rsidRPr="005B29C0">
        <w:rPr>
          <w:color w:val="000000" w:themeColor="text1"/>
          <w:lang w:val="es-CO"/>
        </w:rPr>
        <w:t>Sin embargo, la proyección no desarrolla suficientemente la relación entre la medida acusada y una afectación concreta, grave y constitucionalmente relevante del sistema tributario.</w:t>
      </w:r>
    </w:p>
    <w:p w14:paraId="732887FD" w14:textId="77777777" w:rsidR="00F1667B" w:rsidRDefault="00000000" w:rsidP="005B29C0">
      <w:pPr>
        <w:jc w:val="both"/>
        <w:rPr>
          <w:color w:val="000000" w:themeColor="text1"/>
          <w:lang w:val="es-CO"/>
        </w:rPr>
      </w:pPr>
      <w:r w:rsidRPr="005B29C0">
        <w:rPr>
          <w:color w:val="000000" w:themeColor="text1"/>
          <w:lang w:val="es-CO"/>
        </w:rPr>
        <w:br/>
      </w:r>
      <w:r w:rsidRPr="00F1667B">
        <w:rPr>
          <w:b/>
          <w:bCs/>
          <w:color w:val="000000" w:themeColor="text1"/>
          <w:lang w:val="es-CO"/>
        </w:rPr>
        <w:t xml:space="preserve">3. Cargo por desconocimiento de los principios de razonabilidad y </w:t>
      </w:r>
      <w:r w:rsidRPr="00F1667B">
        <w:rPr>
          <w:b/>
          <w:bCs/>
          <w:color w:val="000000" w:themeColor="text1"/>
          <w:lang w:val="es-CO"/>
        </w:rPr>
        <w:lastRenderedPageBreak/>
        <w:t>proporcionalidad.</w:t>
      </w:r>
      <w:r w:rsidRPr="005B29C0">
        <w:rPr>
          <w:color w:val="000000" w:themeColor="text1"/>
          <w:lang w:val="es-CO"/>
        </w:rPr>
        <w:br/>
      </w:r>
      <w:r w:rsidRPr="005B29C0">
        <w:rPr>
          <w:color w:val="000000" w:themeColor="text1"/>
          <w:lang w:val="es-CO"/>
        </w:rPr>
        <w:br/>
        <w:t>Aunque el borrador menciona implícitamente elementos del test de proporcionalidad, no desarrolla integralmente sus etapas ni logra desvirtuar la presunción de constitucionalidad propia de las medidas tributarias.</w:t>
      </w:r>
    </w:p>
    <w:p w14:paraId="45DF7D37" w14:textId="74F5FB2E" w:rsidR="008E05C3" w:rsidRPr="00F1667B" w:rsidRDefault="00000000" w:rsidP="00F1667B">
      <w:pPr>
        <w:jc w:val="both"/>
        <w:rPr>
          <w:b/>
          <w:bCs/>
          <w:color w:val="000000" w:themeColor="text1"/>
          <w:lang w:val="es-CO"/>
        </w:rPr>
      </w:pPr>
      <w:r w:rsidRPr="005B29C0">
        <w:rPr>
          <w:color w:val="000000" w:themeColor="text1"/>
          <w:lang w:val="es-CO"/>
        </w:rPr>
        <w:br/>
      </w:r>
      <w:r w:rsidRPr="00F1667B">
        <w:rPr>
          <w:b/>
          <w:bCs/>
          <w:color w:val="000000" w:themeColor="text1"/>
          <w:lang w:val="es-CO"/>
        </w:rPr>
        <w:t>VIII. OBSERVACIÓN CENTRAL: EL BORRADOR CONFUNDE CONVENIENCIA LEGISLATIVA CON INCONSTITUCIONALIDAD</w:t>
      </w:r>
    </w:p>
    <w:p w14:paraId="16D2EADD" w14:textId="77777777" w:rsidR="00F1667B" w:rsidRDefault="00000000" w:rsidP="005B29C0">
      <w:pPr>
        <w:jc w:val="both"/>
        <w:rPr>
          <w:color w:val="000000" w:themeColor="text1"/>
          <w:lang w:val="es-CO"/>
        </w:rPr>
      </w:pPr>
      <w:r w:rsidRPr="005B29C0">
        <w:rPr>
          <w:color w:val="000000" w:themeColor="text1"/>
          <w:lang w:val="es-CO"/>
        </w:rPr>
        <w:br/>
        <w:t>Uno de los problemas más relevantes del documento analizado consiste en que varios de sus argumentos parecen orientados más a cuestionar la conveniencia o eficacia de la política pública diseñada por el legislador que a demostrar una contradicción objetiva y directa con la Constitución.</w:t>
      </w:r>
    </w:p>
    <w:p w14:paraId="276EA87B" w14:textId="77777777" w:rsidR="00F1667B" w:rsidRDefault="00000000" w:rsidP="005B29C0">
      <w:pPr>
        <w:jc w:val="both"/>
        <w:rPr>
          <w:color w:val="000000" w:themeColor="text1"/>
          <w:lang w:val="es-CO"/>
        </w:rPr>
      </w:pPr>
      <w:r w:rsidRPr="005B29C0">
        <w:rPr>
          <w:color w:val="000000" w:themeColor="text1"/>
          <w:lang w:val="es-CO"/>
        </w:rPr>
        <w:br/>
        <w:t>La Corte Constitucional ha sido clara en señalar que el juicio de constitucionalidad no puede convertirse en un control de mera conveniencia legislativa.</w:t>
      </w:r>
    </w:p>
    <w:p w14:paraId="29D3768E" w14:textId="11036A08" w:rsidR="008E05C3" w:rsidRPr="005B29C0" w:rsidRDefault="00000000" w:rsidP="005B29C0">
      <w:pPr>
        <w:jc w:val="both"/>
        <w:rPr>
          <w:color w:val="000000" w:themeColor="text1"/>
          <w:lang w:val="es-CO"/>
        </w:rPr>
      </w:pPr>
      <w:r w:rsidRPr="005B29C0">
        <w:rPr>
          <w:color w:val="000000" w:themeColor="text1"/>
          <w:lang w:val="es-CO"/>
        </w:rPr>
        <w:br/>
        <w:t>Por ello, incluso si pudieran existir cuestionamientos técnicos, administrativos o económicos respecto del régimen tributario especial de frontera, ello no implica automáticamente su inconstitucionalidad.</w:t>
      </w:r>
    </w:p>
    <w:p w14:paraId="3077FBAE" w14:textId="77777777" w:rsidR="008E05C3" w:rsidRPr="005B29C0" w:rsidRDefault="00000000" w:rsidP="005B29C0">
      <w:pPr>
        <w:pStyle w:val="Ttulo1"/>
        <w:jc w:val="both"/>
        <w:rPr>
          <w:color w:val="000000" w:themeColor="text1"/>
          <w:lang w:val="es-CO"/>
        </w:rPr>
      </w:pPr>
      <w:r w:rsidRPr="005B29C0">
        <w:rPr>
          <w:color w:val="000000" w:themeColor="text1"/>
          <w:lang w:val="es-CO"/>
        </w:rPr>
        <w:t>IX. CONCLUSIÓN</w:t>
      </w:r>
    </w:p>
    <w:p w14:paraId="05FF10BD" w14:textId="77777777" w:rsidR="008E05C3" w:rsidRPr="005B29C0" w:rsidRDefault="00000000" w:rsidP="00F1667B">
      <w:pPr>
        <w:rPr>
          <w:color w:val="000000" w:themeColor="text1"/>
          <w:lang w:val="es-CO"/>
        </w:rPr>
      </w:pPr>
      <w:r w:rsidRPr="005B29C0">
        <w:rPr>
          <w:color w:val="000000" w:themeColor="text1"/>
          <w:lang w:val="es-CO"/>
        </w:rPr>
        <w:br/>
        <w:t>Las observaciones desarrolladas permiten concluir que el borrador actual de demanda presenta importantes vacíos metodológicos en relación con:</w:t>
      </w:r>
      <w:r w:rsidRPr="005B29C0">
        <w:rPr>
          <w:color w:val="000000" w:themeColor="text1"/>
          <w:lang w:val="es-CO"/>
        </w:rPr>
        <w:br/>
      </w:r>
      <w:r w:rsidRPr="005B29C0">
        <w:rPr>
          <w:color w:val="000000" w:themeColor="text1"/>
          <w:lang w:val="es-CO"/>
        </w:rPr>
        <w:br/>
        <w:t>(i) la construcción del problema jurídico constitucional;</w:t>
      </w:r>
      <w:r w:rsidRPr="005B29C0">
        <w:rPr>
          <w:color w:val="000000" w:themeColor="text1"/>
          <w:lang w:val="es-CO"/>
        </w:rPr>
        <w:br/>
      </w:r>
      <w:r w:rsidRPr="005B29C0">
        <w:rPr>
          <w:color w:val="000000" w:themeColor="text1"/>
          <w:lang w:val="es-CO"/>
        </w:rPr>
        <w:br/>
        <w:t>(</w:t>
      </w:r>
      <w:proofErr w:type="spellStart"/>
      <w:r w:rsidRPr="005B29C0">
        <w:rPr>
          <w:color w:val="000000" w:themeColor="text1"/>
          <w:lang w:val="es-CO"/>
        </w:rPr>
        <w:t>ii</w:t>
      </w:r>
      <w:proofErr w:type="spellEnd"/>
      <w:r w:rsidRPr="005B29C0">
        <w:rPr>
          <w:color w:val="000000" w:themeColor="text1"/>
          <w:lang w:val="es-CO"/>
        </w:rPr>
        <w:t>) el desarrollo del juicio integrado de igualdad;</w:t>
      </w:r>
      <w:r w:rsidRPr="005B29C0">
        <w:rPr>
          <w:color w:val="000000" w:themeColor="text1"/>
          <w:lang w:val="es-CO"/>
        </w:rPr>
        <w:br/>
      </w:r>
      <w:r w:rsidRPr="005B29C0">
        <w:rPr>
          <w:color w:val="000000" w:themeColor="text1"/>
          <w:lang w:val="es-CO"/>
        </w:rPr>
        <w:br/>
        <w:t>(</w:t>
      </w:r>
      <w:proofErr w:type="spellStart"/>
      <w:r w:rsidRPr="005B29C0">
        <w:rPr>
          <w:color w:val="000000" w:themeColor="text1"/>
          <w:lang w:val="es-CO"/>
        </w:rPr>
        <w:t>iii</w:t>
      </w:r>
      <w:proofErr w:type="spellEnd"/>
      <w:r w:rsidRPr="005B29C0">
        <w:rPr>
          <w:color w:val="000000" w:themeColor="text1"/>
          <w:lang w:val="es-CO"/>
        </w:rPr>
        <w:t>) la definición del nivel de intensidad del escrutinio;</w:t>
      </w:r>
      <w:r w:rsidRPr="005B29C0">
        <w:rPr>
          <w:color w:val="000000" w:themeColor="text1"/>
          <w:lang w:val="es-CO"/>
        </w:rPr>
        <w:br/>
      </w:r>
      <w:r w:rsidRPr="005B29C0">
        <w:rPr>
          <w:color w:val="000000" w:themeColor="text1"/>
          <w:lang w:val="es-CO"/>
        </w:rPr>
        <w:br/>
        <w:t>(</w:t>
      </w:r>
      <w:proofErr w:type="spellStart"/>
      <w:r w:rsidRPr="005B29C0">
        <w:rPr>
          <w:color w:val="000000" w:themeColor="text1"/>
          <w:lang w:val="es-CO"/>
        </w:rPr>
        <w:t>iv</w:t>
      </w:r>
      <w:proofErr w:type="spellEnd"/>
      <w:r w:rsidRPr="005B29C0">
        <w:rPr>
          <w:color w:val="000000" w:themeColor="text1"/>
          <w:lang w:val="es-CO"/>
        </w:rPr>
        <w:t>) la estructuración del test de proporcionalidad; y</w:t>
      </w:r>
      <w:r w:rsidRPr="005B29C0">
        <w:rPr>
          <w:color w:val="000000" w:themeColor="text1"/>
          <w:lang w:val="es-CO"/>
        </w:rPr>
        <w:br/>
      </w:r>
      <w:r w:rsidRPr="005B29C0">
        <w:rPr>
          <w:color w:val="000000" w:themeColor="text1"/>
          <w:lang w:val="es-CO"/>
        </w:rPr>
        <w:br/>
        <w:t>(v) la formulación material de los cargos de inconstitucionalidad.</w:t>
      </w:r>
      <w:r w:rsidRPr="005B29C0">
        <w:rPr>
          <w:color w:val="000000" w:themeColor="text1"/>
          <w:lang w:val="es-CO"/>
        </w:rPr>
        <w:br/>
      </w:r>
      <w:r w:rsidRPr="005B29C0">
        <w:rPr>
          <w:color w:val="000000" w:themeColor="text1"/>
          <w:lang w:val="es-CO"/>
        </w:rPr>
        <w:br/>
        <w:t xml:space="preserve">En consecuencia, antes de avanzar hacia la estructuración definitiva de una eventual </w:t>
      </w:r>
      <w:r w:rsidRPr="005B29C0">
        <w:rPr>
          <w:color w:val="000000" w:themeColor="text1"/>
          <w:lang w:val="es-CO"/>
        </w:rPr>
        <w:lastRenderedPageBreak/>
        <w:t>acción pública de inconstitucionalidad, resultaría necesario reconstruir el encuadre constitucional del problema, robustecer el análisis del juicio integrado de igualdad y desarrollar integralmente los subprincipios de idoneidad, necesidad y proporcionalidad estricta conforme a la metodología consolidada por la Corte Constitucional.</w:t>
      </w:r>
      <w:r w:rsidRPr="005B29C0">
        <w:rPr>
          <w:color w:val="000000" w:themeColor="text1"/>
          <w:lang w:val="es-CO"/>
        </w:rPr>
        <w:br/>
      </w:r>
    </w:p>
    <w:sectPr w:rsidR="008E05C3" w:rsidRPr="005B29C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356127011">
    <w:abstractNumId w:val="8"/>
  </w:num>
  <w:num w:numId="2" w16cid:durableId="878007065">
    <w:abstractNumId w:val="6"/>
  </w:num>
  <w:num w:numId="3" w16cid:durableId="740102514">
    <w:abstractNumId w:val="5"/>
  </w:num>
  <w:num w:numId="4" w16cid:durableId="1707481224">
    <w:abstractNumId w:val="4"/>
  </w:num>
  <w:num w:numId="5" w16cid:durableId="316543894">
    <w:abstractNumId w:val="7"/>
  </w:num>
  <w:num w:numId="6" w16cid:durableId="1629508595">
    <w:abstractNumId w:val="3"/>
  </w:num>
  <w:num w:numId="7" w16cid:durableId="1145977176">
    <w:abstractNumId w:val="2"/>
  </w:num>
  <w:num w:numId="8" w16cid:durableId="987056989">
    <w:abstractNumId w:val="1"/>
  </w:num>
  <w:num w:numId="9" w16cid:durableId="1809129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533B"/>
    <w:rsid w:val="0015074B"/>
    <w:rsid w:val="0026750B"/>
    <w:rsid w:val="0029639D"/>
    <w:rsid w:val="00326F90"/>
    <w:rsid w:val="005B29C0"/>
    <w:rsid w:val="008E05C3"/>
    <w:rsid w:val="00A27245"/>
    <w:rsid w:val="00AA1D8D"/>
    <w:rsid w:val="00B47730"/>
    <w:rsid w:val="00CB0664"/>
    <w:rsid w:val="00F1667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C6A13D"/>
  <w14:defaultImageDpi w14:val="300"/>
  <w15:docId w15:val="{F8034BF1-2588-C141-97DB-A8953D8A0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4"/>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1605</Words>
  <Characters>8829</Characters>
  <Application>Microsoft Office Word</Application>
  <DocSecurity>0</DocSecurity>
  <Lines>73</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Microsoft Office User</cp:lastModifiedBy>
  <cp:revision>2</cp:revision>
  <dcterms:created xsi:type="dcterms:W3CDTF">2026-05-07T00:10:00Z</dcterms:created>
  <dcterms:modified xsi:type="dcterms:W3CDTF">2026-05-07T00:10:00Z</dcterms:modified>
  <cp:category/>
</cp:coreProperties>
</file>